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893.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ff0000"/>
                <w:sz w:val="24"/>
                <w:szCs w:val="24"/>
              </w:rPr>
            </w:pPr>
            <w:r w:rsidDel="00000000" w:rsidR="00000000" w:rsidRPr="00000000">
              <w:rPr>
                <w:rFonts w:ascii="Arial" w:cs="Arial" w:eastAsia="Arial" w:hAnsi="Arial"/>
                <w:b w:val="1"/>
                <w:color w:val="ff0000"/>
                <w:sz w:val="24"/>
                <w:szCs w:val="24"/>
                <w:rtl w:val="0"/>
              </w:rPr>
              <w:t xml:space="preserve">“Benchmark Rate”</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means the Charges attributable to the Benchmarked Deliverables;</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Benchmarking</w:t>
      </w:r>
    </w:p>
    <w:p w:rsidR="00000000" w:rsidDel="00000000" w:rsidP="00000000" w:rsidRDefault="00000000" w:rsidRPr="00000000" w14:paraId="0000001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8zmd81cuo26p" w:id="0"/>
      <w:bookmarkEnd w:id="0"/>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mmic7grswk8t"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c7b2243xhu9c" w:id="2"/>
      <w:bookmarkEnd w:id="2"/>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3119" w:hanging="566.9999999999999"/>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3119" w:hanging="566.9999999999999"/>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3119" w:hanging="566.9999999999999"/>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30">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3119" w:hanging="566.9999999999999"/>
        <w:jc w:val="left"/>
        <w:rPr>
          <w:rFonts w:ascii="Arial" w:cs="Arial" w:eastAsia="Arial" w:hAnsi="Arial"/>
          <w:sz w:val="24"/>
          <w:szCs w:val="24"/>
        </w:rPr>
      </w:pPr>
      <w:bookmarkStart w:colFirst="0" w:colLast="0" w:name="_n253eg3fveb5" w:id="3"/>
      <w:bookmarkEnd w:id="3"/>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le4k85sl2sh7" w:id="4"/>
      <w:bookmarkEnd w:id="4"/>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5">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gefj6a2kugw0" w:id="5"/>
      <w:bookmarkEnd w:id="5"/>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tabs>
          <w:tab w:val="left" w:leader="none" w:pos="923"/>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4">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